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BCEA1" w14:textId="77777777" w:rsidR="005301F1" w:rsidRDefault="004C124C">
      <w:pPr>
        <w:pStyle w:val="Nagwek1"/>
        <w:ind w:left="5652"/>
      </w:pPr>
      <w:r>
        <w:t>Załącznik nr</w:t>
      </w:r>
      <w:r w:rsidR="00347F79">
        <w:t xml:space="preserve"> 1</w:t>
      </w:r>
      <w:r>
        <w:t xml:space="preserve"> do Regulaminu</w:t>
      </w:r>
    </w:p>
    <w:p w14:paraId="7002DE69" w14:textId="77777777" w:rsidR="005301F1" w:rsidRDefault="005301F1">
      <w:pPr>
        <w:pStyle w:val="Tekstpodstawowy"/>
        <w:ind w:left="0"/>
        <w:rPr>
          <w:b/>
          <w:sz w:val="28"/>
        </w:rPr>
      </w:pPr>
    </w:p>
    <w:p w14:paraId="391B5FE0" w14:textId="77777777" w:rsidR="005301F1" w:rsidRDefault="005301F1">
      <w:pPr>
        <w:pStyle w:val="Tekstpodstawowy"/>
        <w:ind w:left="0"/>
        <w:rPr>
          <w:b/>
          <w:sz w:val="28"/>
        </w:rPr>
      </w:pPr>
    </w:p>
    <w:p w14:paraId="6A39E66B" w14:textId="77777777" w:rsidR="005301F1" w:rsidRDefault="004C124C">
      <w:pPr>
        <w:spacing w:before="215"/>
        <w:ind w:left="153" w:right="142"/>
        <w:jc w:val="center"/>
        <w:rPr>
          <w:b/>
          <w:sz w:val="28"/>
        </w:rPr>
      </w:pPr>
      <w:r>
        <w:rPr>
          <w:b/>
          <w:sz w:val="28"/>
        </w:rPr>
        <w:t xml:space="preserve">Procedury postępowania przy zamówieniach poniżej </w:t>
      </w:r>
      <w:r w:rsidR="00A10D41">
        <w:rPr>
          <w:b/>
          <w:sz w:val="28"/>
        </w:rPr>
        <w:t>1</w:t>
      </w:r>
      <w:r>
        <w:rPr>
          <w:b/>
          <w:sz w:val="28"/>
        </w:rPr>
        <w:t>30</w:t>
      </w:r>
      <w:r w:rsidR="00A10D41">
        <w:rPr>
          <w:b/>
          <w:sz w:val="28"/>
        </w:rPr>
        <w:t> 000 zł</w:t>
      </w:r>
      <w:r>
        <w:rPr>
          <w:b/>
          <w:sz w:val="28"/>
        </w:rPr>
        <w:t>.</w:t>
      </w:r>
    </w:p>
    <w:p w14:paraId="4A49931A" w14:textId="1BA8ED9F" w:rsidR="005301F1" w:rsidRDefault="004C124C">
      <w:pPr>
        <w:pStyle w:val="Nagwek2"/>
        <w:spacing w:before="251" w:line="276" w:lineRule="auto"/>
        <w:ind w:left="156" w:right="142"/>
        <w:jc w:val="center"/>
      </w:pPr>
      <w:r>
        <w:t xml:space="preserve">tj. zamówieniach, których wartość rynkowa netto nie przekracza w skali jednego roku kalendarzowego równowartości </w:t>
      </w:r>
      <w:r w:rsidR="00650C2F">
        <w:t>130000 zł netto</w:t>
      </w:r>
      <w:r>
        <w:t xml:space="preserve"> i które mogą być dokonywane z pominięciem trybów i zasad postępowania określonych w ustawie Prawo zamówień publicznych na podstawie art. </w:t>
      </w:r>
      <w:r w:rsidR="00A10D41">
        <w:t xml:space="preserve">9-14 </w:t>
      </w:r>
    </w:p>
    <w:p w14:paraId="039D2C6F" w14:textId="77777777" w:rsidR="005301F1" w:rsidRDefault="004C124C">
      <w:pPr>
        <w:spacing w:before="198"/>
        <w:ind w:left="149" w:right="142"/>
        <w:jc w:val="center"/>
        <w:rPr>
          <w:b/>
          <w:sz w:val="24"/>
        </w:rPr>
      </w:pPr>
      <w:r>
        <w:rPr>
          <w:b/>
          <w:sz w:val="24"/>
        </w:rPr>
        <w:t>§1</w:t>
      </w:r>
    </w:p>
    <w:p w14:paraId="3FBE4596" w14:textId="77777777" w:rsidR="005301F1" w:rsidRDefault="005301F1">
      <w:pPr>
        <w:pStyle w:val="Tekstpodstawowy"/>
        <w:spacing w:before="10"/>
        <w:ind w:left="0"/>
        <w:rPr>
          <w:b/>
          <w:sz w:val="19"/>
        </w:rPr>
      </w:pPr>
    </w:p>
    <w:p w14:paraId="01806C3B" w14:textId="77777777" w:rsidR="005301F1" w:rsidRDefault="004C124C">
      <w:pPr>
        <w:ind w:left="153" w:right="142"/>
        <w:jc w:val="center"/>
        <w:rPr>
          <w:b/>
          <w:sz w:val="24"/>
        </w:rPr>
      </w:pPr>
      <w:r>
        <w:rPr>
          <w:b/>
          <w:sz w:val="24"/>
        </w:rPr>
        <w:t>Uwagi ogólne</w:t>
      </w:r>
    </w:p>
    <w:p w14:paraId="36C4B3A7" w14:textId="77777777" w:rsidR="005301F1" w:rsidRDefault="005301F1">
      <w:pPr>
        <w:pStyle w:val="Tekstpodstawowy"/>
        <w:spacing w:before="10"/>
        <w:ind w:left="0"/>
        <w:rPr>
          <w:b/>
          <w:sz w:val="19"/>
        </w:rPr>
      </w:pPr>
    </w:p>
    <w:p w14:paraId="332CEB8E" w14:textId="77777777" w:rsidR="005301F1" w:rsidRDefault="004C124C">
      <w:pPr>
        <w:pStyle w:val="Akapitzlist"/>
        <w:numPr>
          <w:ilvl w:val="0"/>
          <w:numId w:val="3"/>
        </w:numPr>
        <w:tabs>
          <w:tab w:val="left" w:pos="479"/>
          <w:tab w:val="left" w:pos="1805"/>
          <w:tab w:val="left" w:pos="2417"/>
          <w:tab w:val="left" w:pos="3895"/>
          <w:tab w:val="left" w:pos="5551"/>
          <w:tab w:val="left" w:pos="6941"/>
          <w:tab w:val="left" w:pos="7779"/>
          <w:tab w:val="left" w:pos="8503"/>
        </w:tabs>
        <w:spacing w:before="1" w:line="276" w:lineRule="auto"/>
        <w:ind w:right="110" w:hanging="361"/>
        <w:rPr>
          <w:sz w:val="24"/>
        </w:rPr>
      </w:pPr>
      <w:r>
        <w:rPr>
          <w:sz w:val="24"/>
        </w:rPr>
        <w:t>Wniosek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o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udzielenie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zamówienia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dostępny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jest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na</w:t>
      </w:r>
      <w:r>
        <w:rPr>
          <w:rFonts w:ascii="Times New Roman" w:hAnsi="Times New Roman"/>
          <w:sz w:val="24"/>
        </w:rPr>
        <w:tab/>
      </w:r>
      <w:r>
        <w:rPr>
          <w:spacing w:val="-3"/>
          <w:sz w:val="24"/>
        </w:rPr>
        <w:t>stronie</w:t>
      </w:r>
      <w:hyperlink r:id="rId7">
        <w:r>
          <w:rPr>
            <w:color w:val="0000FF"/>
            <w:spacing w:val="-3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http://www.pan.olsztyn.pl/bip/</w:t>
        </w:r>
        <w:r>
          <w:rPr>
            <w:sz w:val="24"/>
          </w:rPr>
          <w:t xml:space="preserve">. </w:t>
        </w:r>
      </w:hyperlink>
      <w:r>
        <w:rPr>
          <w:sz w:val="24"/>
        </w:rPr>
        <w:t xml:space="preserve">Dział Zamówień Publicznych nadaje wnioskowi numer  w rejestrze zamówień do </w:t>
      </w:r>
      <w:r w:rsidR="00A10D41">
        <w:rPr>
          <w:sz w:val="24"/>
        </w:rPr>
        <w:t>1</w:t>
      </w:r>
      <w:r>
        <w:rPr>
          <w:sz w:val="24"/>
        </w:rPr>
        <w:t>30</w:t>
      </w:r>
      <w:r w:rsidR="00A10D41">
        <w:rPr>
          <w:sz w:val="24"/>
        </w:rPr>
        <w:t> 000 zł</w:t>
      </w:r>
      <w:r>
        <w:rPr>
          <w:sz w:val="24"/>
        </w:rPr>
        <w:t>.</w:t>
      </w:r>
    </w:p>
    <w:p w14:paraId="5D557C61" w14:textId="77777777" w:rsidR="005301F1" w:rsidRDefault="004C124C">
      <w:pPr>
        <w:pStyle w:val="Akapitzlist"/>
        <w:numPr>
          <w:ilvl w:val="0"/>
          <w:numId w:val="3"/>
        </w:numPr>
        <w:tabs>
          <w:tab w:val="left" w:pos="479"/>
        </w:tabs>
        <w:spacing w:line="276" w:lineRule="auto"/>
        <w:ind w:right="110"/>
        <w:rPr>
          <w:sz w:val="24"/>
        </w:rPr>
      </w:pPr>
      <w:r>
        <w:rPr>
          <w:b/>
          <w:sz w:val="24"/>
        </w:rPr>
        <w:t xml:space="preserve">Komórka Merytoryczna </w:t>
      </w:r>
      <w:r>
        <w:rPr>
          <w:sz w:val="24"/>
        </w:rPr>
        <w:t>oznacza każdą wyodrębnioną w ramach Instytutu jednostkę organizacyjną zgodną ze Strukturą Instytutu.</w:t>
      </w:r>
    </w:p>
    <w:p w14:paraId="33916E41" w14:textId="77777777" w:rsidR="005301F1" w:rsidRDefault="004C124C">
      <w:pPr>
        <w:pStyle w:val="Akapitzlist"/>
        <w:numPr>
          <w:ilvl w:val="0"/>
          <w:numId w:val="3"/>
        </w:numPr>
        <w:tabs>
          <w:tab w:val="left" w:pos="479"/>
        </w:tabs>
        <w:spacing w:line="250" w:lineRule="exact"/>
        <w:ind w:hanging="361"/>
        <w:rPr>
          <w:sz w:val="24"/>
        </w:rPr>
      </w:pPr>
      <w:r>
        <w:rPr>
          <w:sz w:val="24"/>
        </w:rPr>
        <w:t>Kierownik</w:t>
      </w:r>
      <w:r>
        <w:rPr>
          <w:spacing w:val="12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5"/>
          <w:sz w:val="24"/>
        </w:rPr>
        <w:t xml:space="preserve"> </w:t>
      </w:r>
      <w:r>
        <w:rPr>
          <w:sz w:val="24"/>
        </w:rPr>
        <w:t>–</w:t>
      </w:r>
      <w:r>
        <w:rPr>
          <w:spacing w:val="15"/>
          <w:sz w:val="24"/>
        </w:rPr>
        <w:t xml:space="preserve"> </w:t>
      </w:r>
      <w:r>
        <w:rPr>
          <w:sz w:val="24"/>
        </w:rPr>
        <w:t>to</w:t>
      </w:r>
      <w:r>
        <w:rPr>
          <w:spacing w:val="13"/>
          <w:sz w:val="24"/>
        </w:rPr>
        <w:t xml:space="preserve"> </w:t>
      </w:r>
      <w:r>
        <w:rPr>
          <w:sz w:val="24"/>
        </w:rPr>
        <w:t>określenie</w:t>
      </w:r>
      <w:r>
        <w:rPr>
          <w:spacing w:val="15"/>
          <w:sz w:val="24"/>
        </w:rPr>
        <w:t xml:space="preserve"> </w:t>
      </w:r>
      <w:r>
        <w:rPr>
          <w:sz w:val="24"/>
        </w:rPr>
        <w:t>wynikające</w:t>
      </w:r>
      <w:r>
        <w:rPr>
          <w:spacing w:val="17"/>
          <w:sz w:val="24"/>
        </w:rPr>
        <w:t xml:space="preserve"> </w:t>
      </w:r>
      <w:r>
        <w:rPr>
          <w:sz w:val="24"/>
        </w:rPr>
        <w:t>wprost</w:t>
      </w:r>
      <w:r>
        <w:rPr>
          <w:spacing w:val="16"/>
          <w:sz w:val="24"/>
        </w:rPr>
        <w:t xml:space="preserve"> </w:t>
      </w:r>
      <w:r>
        <w:rPr>
          <w:sz w:val="24"/>
        </w:rPr>
        <w:t>z</w:t>
      </w:r>
      <w:r>
        <w:rPr>
          <w:spacing w:val="16"/>
          <w:sz w:val="24"/>
        </w:rPr>
        <w:t xml:space="preserve"> </w:t>
      </w:r>
      <w:r>
        <w:rPr>
          <w:sz w:val="24"/>
        </w:rPr>
        <w:t>ustawy</w:t>
      </w:r>
      <w:r>
        <w:rPr>
          <w:spacing w:val="16"/>
          <w:sz w:val="24"/>
        </w:rPr>
        <w:t xml:space="preserve"> </w:t>
      </w:r>
      <w:r>
        <w:rPr>
          <w:sz w:val="24"/>
        </w:rPr>
        <w:t>Prawo</w:t>
      </w:r>
      <w:r>
        <w:rPr>
          <w:spacing w:val="14"/>
          <w:sz w:val="24"/>
        </w:rPr>
        <w:t xml:space="preserve"> </w:t>
      </w:r>
      <w:r>
        <w:rPr>
          <w:sz w:val="24"/>
        </w:rPr>
        <w:t>zamówień</w:t>
      </w:r>
    </w:p>
    <w:p w14:paraId="6D3F855C" w14:textId="77777777" w:rsidR="005301F1" w:rsidRDefault="004C124C">
      <w:pPr>
        <w:spacing w:before="40" w:line="276" w:lineRule="auto"/>
        <w:ind w:left="478" w:right="106"/>
        <w:jc w:val="both"/>
        <w:rPr>
          <w:sz w:val="24"/>
        </w:rPr>
      </w:pPr>
      <w:r>
        <w:rPr>
          <w:sz w:val="24"/>
        </w:rPr>
        <w:t xml:space="preserve">publicznych, w przypadku Instytutu oznacza </w:t>
      </w:r>
      <w:r>
        <w:rPr>
          <w:b/>
          <w:sz w:val="24"/>
        </w:rPr>
        <w:t xml:space="preserve">Dyrektora Instytutu lub osobę pisemnie upoważnioną </w:t>
      </w:r>
      <w:r>
        <w:rPr>
          <w:sz w:val="24"/>
        </w:rPr>
        <w:t>do czynności wykonywanych przez Kierownika Zamawiającego wynikających z ustawy Pzp. Wobec powyższego wnioski i inne dokumenty w miejscu</w:t>
      </w:r>
    </w:p>
    <w:p w14:paraId="38EBFAC8" w14:textId="77777777" w:rsidR="005301F1" w:rsidRDefault="004C124C">
      <w:pPr>
        <w:spacing w:line="276" w:lineRule="auto"/>
        <w:ind w:left="478" w:right="106"/>
        <w:jc w:val="both"/>
        <w:rPr>
          <w:b/>
          <w:sz w:val="24"/>
        </w:rPr>
      </w:pPr>
      <w:r>
        <w:rPr>
          <w:sz w:val="24"/>
        </w:rPr>
        <w:t xml:space="preserve">„podpis Kierownika Zamawiającego” podpisuje </w:t>
      </w:r>
      <w:r>
        <w:rPr>
          <w:b/>
          <w:sz w:val="24"/>
        </w:rPr>
        <w:t>Dyrektor Instytutu lub osoba upoważniona. Podpis innej osoby czyni dokument nieważnym.</w:t>
      </w:r>
    </w:p>
    <w:p w14:paraId="500094E9" w14:textId="77777777" w:rsidR="005301F1" w:rsidRDefault="004C124C">
      <w:pPr>
        <w:pStyle w:val="Akapitzlist"/>
        <w:numPr>
          <w:ilvl w:val="0"/>
          <w:numId w:val="3"/>
        </w:numPr>
        <w:tabs>
          <w:tab w:val="left" w:pos="479"/>
        </w:tabs>
        <w:spacing w:line="276" w:lineRule="auto"/>
        <w:ind w:right="112"/>
        <w:rPr>
          <w:sz w:val="24"/>
        </w:rPr>
      </w:pPr>
      <w:r>
        <w:rPr>
          <w:sz w:val="24"/>
        </w:rPr>
        <w:t>Dokonywanie wydatków musi następować w sposób celowy i oszczędny, z zachowaniem zasady uzyskiwania najlepszych efektów z danych nakładów.</w:t>
      </w:r>
    </w:p>
    <w:p w14:paraId="3C526E55" w14:textId="40BD11C7" w:rsidR="005301F1" w:rsidRDefault="004C124C">
      <w:pPr>
        <w:pStyle w:val="Akapitzlist"/>
        <w:numPr>
          <w:ilvl w:val="0"/>
          <w:numId w:val="3"/>
        </w:numPr>
        <w:tabs>
          <w:tab w:val="left" w:pos="479"/>
        </w:tabs>
        <w:spacing w:line="276" w:lineRule="auto"/>
        <w:ind w:right="233"/>
        <w:rPr>
          <w:sz w:val="24"/>
        </w:rPr>
      </w:pPr>
      <w:r>
        <w:rPr>
          <w:sz w:val="24"/>
          <w:u w:val="single"/>
        </w:rPr>
        <w:t xml:space="preserve">Komórka merytoryczna może zwrócić się  o  przeprowadzenie  </w:t>
      </w:r>
      <w:r w:rsidR="00650C2F">
        <w:rPr>
          <w:sz w:val="24"/>
          <w:u w:val="single"/>
        </w:rPr>
        <w:t>postępowania</w:t>
      </w:r>
      <w:r>
        <w:rPr>
          <w:sz w:val="24"/>
          <w:u w:val="single"/>
        </w:rPr>
        <w:t xml:space="preserve"> do Działu Zamówień Publicznych.</w:t>
      </w:r>
    </w:p>
    <w:p w14:paraId="415F7FE8" w14:textId="77777777" w:rsidR="005301F1" w:rsidRDefault="004C124C" w:rsidP="00650C2F">
      <w:pPr>
        <w:pStyle w:val="Tekstpodstawowy"/>
        <w:spacing w:line="248" w:lineRule="exact"/>
        <w:ind w:left="545"/>
        <w:jc w:val="both"/>
      </w:pPr>
      <w:r>
        <w:t>Gdy udzielenie zamówienia zleca się Działowi Zamówień Publicznych wniosek zawiera</w:t>
      </w:r>
    </w:p>
    <w:p w14:paraId="07BAB6A2" w14:textId="77777777" w:rsidR="005301F1" w:rsidRDefault="004C124C" w:rsidP="00650C2F">
      <w:pPr>
        <w:pStyle w:val="Tekstpodstawowy"/>
        <w:spacing w:before="35" w:line="276" w:lineRule="auto"/>
        <w:ind w:left="545"/>
        <w:jc w:val="both"/>
      </w:pPr>
      <w:r>
        <w:t>- opis przedmiotu zamówienia/warunki płatności/okres gwarancji/informację na temat konieczności zawarcia umowy/inne niezbędne informacje.</w:t>
      </w:r>
    </w:p>
    <w:p w14:paraId="20FD260B" w14:textId="77777777" w:rsidR="005301F1" w:rsidRDefault="004C124C" w:rsidP="00650C2F">
      <w:pPr>
        <w:pStyle w:val="Tekstpodstawowy"/>
        <w:spacing w:line="248" w:lineRule="exact"/>
        <w:jc w:val="both"/>
      </w:pPr>
      <w:r>
        <w:t>Zamówień udziela się wykonawcy, który złożył najkorzystniejszą ofertę. Za</w:t>
      </w:r>
      <w:r>
        <w:rPr>
          <w:spacing w:val="53"/>
        </w:rPr>
        <w:t xml:space="preserve"> </w:t>
      </w:r>
      <w:r>
        <w:t>ofertę</w:t>
      </w:r>
    </w:p>
    <w:p w14:paraId="2AA92886" w14:textId="77777777" w:rsidR="005301F1" w:rsidRDefault="004C124C" w:rsidP="00650C2F">
      <w:pPr>
        <w:pStyle w:val="Tekstpodstawowy"/>
        <w:spacing w:before="43" w:line="276" w:lineRule="auto"/>
        <w:jc w:val="both"/>
      </w:pPr>
      <w:r>
        <w:t>najkorzystniejszą uważa się ofertę z najniższą ceną lub przedstawiającą najkorzystniejszy bilans ceny i innych wymagań opisanych w zapytaniu ofertowym.</w:t>
      </w:r>
    </w:p>
    <w:p w14:paraId="36845CD2" w14:textId="1148CB4E" w:rsidR="005301F1" w:rsidRDefault="004C124C" w:rsidP="00650C2F">
      <w:pPr>
        <w:pStyle w:val="Tekstpodstawowy"/>
        <w:spacing w:line="248" w:lineRule="exact"/>
        <w:jc w:val="both"/>
      </w:pPr>
      <w:r>
        <w:t>Zapytanie ofertowe zostanie umieszczone na stronie internetowej Instytutu</w:t>
      </w:r>
      <w:r w:rsidR="00137403">
        <w:t xml:space="preserve"> lub zostanie wysłane co najmniej do 3 potencjalnych wykonawców.</w:t>
      </w:r>
    </w:p>
    <w:p w14:paraId="0EE9AA5A" w14:textId="77777777" w:rsidR="005301F1" w:rsidRDefault="004C124C" w:rsidP="00650C2F">
      <w:pPr>
        <w:pStyle w:val="Akapitzlist"/>
        <w:numPr>
          <w:ilvl w:val="0"/>
          <w:numId w:val="3"/>
        </w:numPr>
        <w:tabs>
          <w:tab w:val="left" w:pos="479"/>
        </w:tabs>
        <w:spacing w:line="276" w:lineRule="auto"/>
        <w:ind w:right="231"/>
        <w:jc w:val="both"/>
        <w:rPr>
          <w:sz w:val="24"/>
        </w:rPr>
      </w:pPr>
      <w:r>
        <w:rPr>
          <w:sz w:val="24"/>
        </w:rPr>
        <w:t>Zawarcie umowy w  formie  pisemnej  nie  jest  wymagane  w  przypadku  postępowań  o</w:t>
      </w:r>
      <w:r>
        <w:rPr>
          <w:spacing w:val="31"/>
          <w:sz w:val="24"/>
        </w:rPr>
        <w:t xml:space="preserve"> </w:t>
      </w:r>
      <w:r>
        <w:rPr>
          <w:sz w:val="24"/>
        </w:rPr>
        <w:t>wartości</w:t>
      </w:r>
      <w:r>
        <w:rPr>
          <w:spacing w:val="34"/>
          <w:sz w:val="24"/>
        </w:rPr>
        <w:t xml:space="preserve"> </w:t>
      </w:r>
      <w:r>
        <w:rPr>
          <w:sz w:val="24"/>
        </w:rPr>
        <w:t>poniżej</w:t>
      </w:r>
      <w:r w:rsidR="00A10D41">
        <w:rPr>
          <w:spacing w:val="34"/>
          <w:sz w:val="24"/>
        </w:rPr>
        <w:t xml:space="preserve"> </w:t>
      </w:r>
      <w:r w:rsidR="00A10D41">
        <w:rPr>
          <w:sz w:val="24"/>
        </w:rPr>
        <w:t>130 000 zł netto</w:t>
      </w:r>
      <w:r>
        <w:rPr>
          <w:sz w:val="24"/>
        </w:rPr>
        <w:t>,</w:t>
      </w:r>
      <w:r>
        <w:rPr>
          <w:spacing w:val="34"/>
          <w:sz w:val="24"/>
        </w:rPr>
        <w:t xml:space="preserve"> </w:t>
      </w:r>
      <w:r>
        <w:rPr>
          <w:sz w:val="24"/>
        </w:rPr>
        <w:t>aczkolwiek</w:t>
      </w:r>
      <w:r>
        <w:rPr>
          <w:spacing w:val="33"/>
          <w:sz w:val="24"/>
        </w:rPr>
        <w:t xml:space="preserve"> </w:t>
      </w:r>
      <w:r>
        <w:rPr>
          <w:b/>
          <w:sz w:val="24"/>
          <w:u w:val="single"/>
        </w:rPr>
        <w:t>zalecane</w:t>
      </w:r>
      <w:r>
        <w:rPr>
          <w:b/>
          <w:spacing w:val="36"/>
          <w:sz w:val="24"/>
        </w:rPr>
        <w:t xml:space="preserve"> </w:t>
      </w:r>
      <w:r>
        <w:rPr>
          <w:sz w:val="24"/>
        </w:rPr>
        <w:t>w</w:t>
      </w:r>
      <w:r>
        <w:rPr>
          <w:spacing w:val="33"/>
          <w:sz w:val="24"/>
        </w:rPr>
        <w:t xml:space="preserve"> </w:t>
      </w:r>
      <w:r>
        <w:rPr>
          <w:sz w:val="24"/>
        </w:rPr>
        <w:t>przypadku</w:t>
      </w:r>
      <w:r>
        <w:rPr>
          <w:spacing w:val="35"/>
          <w:sz w:val="24"/>
        </w:rPr>
        <w:t xml:space="preserve"> </w:t>
      </w:r>
      <w:r>
        <w:rPr>
          <w:sz w:val="24"/>
        </w:rPr>
        <w:t>zamówień</w:t>
      </w:r>
    </w:p>
    <w:p w14:paraId="3538EBCE" w14:textId="638ACB46" w:rsidR="005301F1" w:rsidRDefault="004C124C" w:rsidP="00650C2F">
      <w:pPr>
        <w:pStyle w:val="Tekstpodstawowy"/>
        <w:spacing w:line="276" w:lineRule="auto"/>
        <w:jc w:val="both"/>
      </w:pPr>
      <w:r>
        <w:t xml:space="preserve">o wartości przekraczającej w jednorazowej dostawie </w:t>
      </w:r>
      <w:r w:rsidR="00650C2F">
        <w:t>50000,00</w:t>
      </w:r>
      <w:r>
        <w:t xml:space="preserve"> zł brutto, czy złożonej charakterystyce i robót budowlanych powyżej </w:t>
      </w:r>
      <w:r w:rsidR="00650C2F">
        <w:t>50</w:t>
      </w:r>
      <w:r>
        <w:t>000,00 zł brutto.</w:t>
      </w:r>
    </w:p>
    <w:p w14:paraId="66BC9833" w14:textId="77777777" w:rsidR="005301F1" w:rsidRDefault="005301F1" w:rsidP="00650C2F">
      <w:pPr>
        <w:spacing w:line="276" w:lineRule="auto"/>
        <w:jc w:val="both"/>
        <w:sectPr w:rsidR="005301F1">
          <w:footerReference w:type="default" r:id="rId8"/>
          <w:type w:val="continuous"/>
          <w:pgSz w:w="11900" w:h="16840"/>
          <w:pgMar w:top="1400" w:right="1300" w:bottom="1200" w:left="1300" w:header="708" w:footer="1004" w:gutter="0"/>
          <w:pgNumType w:start="1"/>
          <w:cols w:space="708"/>
        </w:sectPr>
      </w:pPr>
    </w:p>
    <w:p w14:paraId="6C27C7F9" w14:textId="77777777" w:rsidR="005301F1" w:rsidRDefault="004C124C">
      <w:pPr>
        <w:pStyle w:val="Nagwek2"/>
        <w:numPr>
          <w:ilvl w:val="0"/>
          <w:numId w:val="3"/>
        </w:numPr>
        <w:tabs>
          <w:tab w:val="left" w:pos="479"/>
        </w:tabs>
        <w:spacing w:before="38" w:line="276" w:lineRule="auto"/>
        <w:ind w:right="109"/>
      </w:pPr>
      <w:r>
        <w:lastRenderedPageBreak/>
        <w:t xml:space="preserve">Z procedury postępowania do </w:t>
      </w:r>
      <w:r w:rsidR="00A10D41">
        <w:t>130 000 zł netto</w:t>
      </w:r>
      <w:r>
        <w:t xml:space="preserve"> są wyłączone (brak wymogu złożenia wniosku):</w:t>
      </w:r>
    </w:p>
    <w:p w14:paraId="4D2F876E" w14:textId="77777777" w:rsidR="005301F1" w:rsidRDefault="004C124C">
      <w:pPr>
        <w:pStyle w:val="Akapitzlist"/>
        <w:numPr>
          <w:ilvl w:val="1"/>
          <w:numId w:val="3"/>
        </w:numPr>
        <w:tabs>
          <w:tab w:val="left" w:pos="692"/>
        </w:tabs>
        <w:spacing w:line="248" w:lineRule="exact"/>
        <w:rPr>
          <w:b/>
          <w:sz w:val="24"/>
        </w:rPr>
      </w:pPr>
      <w:r>
        <w:rPr>
          <w:b/>
          <w:sz w:val="24"/>
        </w:rPr>
        <w:t>– koszty wynikające z delegacji służbowej (zgodnie z regulaminem dot.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rozliczenia</w:t>
      </w:r>
    </w:p>
    <w:p w14:paraId="336B570F" w14:textId="77777777" w:rsidR="005301F1" w:rsidRDefault="004C124C">
      <w:pPr>
        <w:spacing w:before="43"/>
        <w:ind w:left="478"/>
        <w:rPr>
          <w:b/>
          <w:sz w:val="24"/>
        </w:rPr>
      </w:pPr>
      <w:r>
        <w:rPr>
          <w:b/>
          <w:sz w:val="24"/>
        </w:rPr>
        <w:t>delegacji);</w:t>
      </w:r>
    </w:p>
    <w:p w14:paraId="37F7BAF5" w14:textId="77777777" w:rsidR="005301F1" w:rsidRDefault="004C124C">
      <w:pPr>
        <w:pStyle w:val="Akapitzlist"/>
        <w:numPr>
          <w:ilvl w:val="1"/>
          <w:numId w:val="3"/>
        </w:numPr>
        <w:tabs>
          <w:tab w:val="left" w:pos="714"/>
        </w:tabs>
        <w:spacing w:line="276" w:lineRule="auto"/>
        <w:ind w:left="478" w:right="231" w:firstLine="0"/>
        <w:rPr>
          <w:b/>
          <w:sz w:val="24"/>
        </w:rPr>
      </w:pPr>
      <w:r>
        <w:rPr>
          <w:b/>
          <w:sz w:val="24"/>
        </w:rPr>
        <w:t>– opłaty za udział  w  konferencjach,  seminariach,  panelach  dyskusyjnych,  które są organizowane przez inne Instytucje/organizacje (wolny nabór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uczestników);</w:t>
      </w:r>
    </w:p>
    <w:p w14:paraId="35CC210C" w14:textId="77777777" w:rsidR="005301F1" w:rsidRDefault="004C124C">
      <w:pPr>
        <w:pStyle w:val="Akapitzlist"/>
        <w:numPr>
          <w:ilvl w:val="1"/>
          <w:numId w:val="3"/>
        </w:numPr>
        <w:tabs>
          <w:tab w:val="left" w:pos="664"/>
        </w:tabs>
        <w:spacing w:line="248" w:lineRule="exact"/>
        <w:ind w:left="663" w:hanging="186"/>
        <w:rPr>
          <w:b/>
          <w:sz w:val="24"/>
        </w:rPr>
      </w:pPr>
      <w:r>
        <w:rPr>
          <w:b/>
          <w:sz w:val="24"/>
        </w:rPr>
        <w:t>–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opłaty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szkolenia,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które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nie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zostały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tematycznie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zgłoszone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Komórki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Zamówień</w:t>
      </w:r>
    </w:p>
    <w:p w14:paraId="731C8D3E" w14:textId="77777777" w:rsidR="005301F1" w:rsidRDefault="004C124C">
      <w:pPr>
        <w:spacing w:before="42" w:line="276" w:lineRule="auto"/>
        <w:ind w:left="478"/>
        <w:rPr>
          <w:b/>
          <w:sz w:val="24"/>
        </w:rPr>
      </w:pPr>
      <w:r>
        <w:rPr>
          <w:b/>
          <w:sz w:val="24"/>
        </w:rPr>
        <w:t>Publicznych celem wybrania firmy/instytucji szkolącej, są organizowane przez inne instytucje/organizacje (wolny nabór uczestników),</w:t>
      </w:r>
    </w:p>
    <w:p w14:paraId="29637318" w14:textId="77777777" w:rsidR="005301F1" w:rsidRDefault="004C124C">
      <w:pPr>
        <w:pStyle w:val="Akapitzlist"/>
        <w:numPr>
          <w:ilvl w:val="1"/>
          <w:numId w:val="3"/>
        </w:numPr>
        <w:tabs>
          <w:tab w:val="left" w:pos="654"/>
        </w:tabs>
        <w:spacing w:line="248" w:lineRule="exact"/>
        <w:ind w:left="653" w:hanging="176"/>
        <w:rPr>
          <w:b/>
          <w:sz w:val="24"/>
        </w:rPr>
      </w:pPr>
      <w:r>
        <w:rPr>
          <w:b/>
          <w:sz w:val="24"/>
        </w:rPr>
        <w:t>– bilety komunikacji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miejskiej,</w:t>
      </w:r>
    </w:p>
    <w:p w14:paraId="67432506" w14:textId="77777777" w:rsidR="005301F1" w:rsidRDefault="004C124C">
      <w:pPr>
        <w:pStyle w:val="Akapitzlist"/>
        <w:numPr>
          <w:ilvl w:val="1"/>
          <w:numId w:val="3"/>
        </w:numPr>
        <w:tabs>
          <w:tab w:val="left" w:pos="654"/>
        </w:tabs>
        <w:ind w:left="653" w:hanging="176"/>
        <w:rPr>
          <w:b/>
          <w:sz w:val="24"/>
        </w:rPr>
      </w:pPr>
      <w:r>
        <w:rPr>
          <w:b/>
          <w:sz w:val="24"/>
        </w:rPr>
        <w:t>– opłaty za członkostwo i wynikające z przynależności do danej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organizacji,</w:t>
      </w:r>
    </w:p>
    <w:p w14:paraId="15F0580F" w14:textId="77777777" w:rsidR="005301F1" w:rsidRDefault="004C124C">
      <w:pPr>
        <w:pStyle w:val="Akapitzlist"/>
        <w:numPr>
          <w:ilvl w:val="1"/>
          <w:numId w:val="3"/>
        </w:numPr>
        <w:tabs>
          <w:tab w:val="left" w:pos="685"/>
        </w:tabs>
        <w:spacing w:line="276" w:lineRule="auto"/>
        <w:ind w:left="478" w:right="116" w:firstLine="0"/>
        <w:rPr>
          <w:b/>
          <w:sz w:val="24"/>
        </w:rPr>
      </w:pPr>
      <w:r>
        <w:rPr>
          <w:b/>
          <w:sz w:val="24"/>
        </w:rPr>
        <w:t>– nietypowe wydatki wynikające z realizacji projektów np. zapłata dla ochotników badań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itp.</w:t>
      </w:r>
    </w:p>
    <w:p w14:paraId="406EFB1C" w14:textId="77777777" w:rsidR="005301F1" w:rsidRDefault="004C124C">
      <w:pPr>
        <w:pStyle w:val="Akapitzlist"/>
        <w:numPr>
          <w:ilvl w:val="1"/>
          <w:numId w:val="3"/>
        </w:numPr>
        <w:tabs>
          <w:tab w:val="left" w:pos="695"/>
        </w:tabs>
        <w:spacing w:line="248" w:lineRule="exact"/>
        <w:ind w:left="694" w:hanging="217"/>
        <w:rPr>
          <w:b/>
          <w:sz w:val="24"/>
        </w:rPr>
      </w:pPr>
      <w:r>
        <w:rPr>
          <w:b/>
          <w:sz w:val="24"/>
        </w:rPr>
        <w:t>–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usługi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udzielane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innemu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zamawiającemu,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któremu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drodze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ustawy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lub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decyzji</w:t>
      </w:r>
    </w:p>
    <w:p w14:paraId="7CA43BD5" w14:textId="77777777" w:rsidR="005301F1" w:rsidRDefault="004C124C">
      <w:pPr>
        <w:spacing w:before="43" w:line="276" w:lineRule="auto"/>
        <w:ind w:left="478"/>
        <w:rPr>
          <w:b/>
          <w:sz w:val="24"/>
        </w:rPr>
      </w:pPr>
      <w:r>
        <w:rPr>
          <w:b/>
          <w:sz w:val="24"/>
        </w:rPr>
        <w:t>administracyjnej przyznano wyłączne prawo do świadczenia tych usług (opłaty urzędowe, wyciągi, wypisy),</w:t>
      </w:r>
    </w:p>
    <w:p w14:paraId="7F400CC2" w14:textId="77777777" w:rsidR="005301F1" w:rsidRDefault="004C124C">
      <w:pPr>
        <w:pStyle w:val="Akapitzlist"/>
        <w:numPr>
          <w:ilvl w:val="0"/>
          <w:numId w:val="3"/>
        </w:numPr>
        <w:tabs>
          <w:tab w:val="left" w:pos="479"/>
        </w:tabs>
        <w:spacing w:line="247" w:lineRule="exact"/>
        <w:ind w:hanging="361"/>
        <w:rPr>
          <w:sz w:val="24"/>
        </w:rPr>
      </w:pPr>
      <w:r>
        <w:rPr>
          <w:sz w:val="24"/>
        </w:rPr>
        <w:t>Zamówienia objęte postępowaniami prowadzonymi dla całego Instytutu (np.</w:t>
      </w:r>
      <w:r>
        <w:rPr>
          <w:spacing w:val="1"/>
          <w:sz w:val="24"/>
        </w:rPr>
        <w:t xml:space="preserve"> </w:t>
      </w:r>
      <w:r>
        <w:rPr>
          <w:sz w:val="24"/>
        </w:rPr>
        <w:t>materiały</w:t>
      </w:r>
    </w:p>
    <w:p w14:paraId="57365C18" w14:textId="1BFD02DF" w:rsidR="005301F1" w:rsidRDefault="004C124C">
      <w:pPr>
        <w:pStyle w:val="Tekstpodstawowy"/>
        <w:spacing w:before="43" w:line="276" w:lineRule="auto"/>
        <w:ind w:right="149"/>
      </w:pPr>
      <w:r>
        <w:t xml:space="preserve">biurowe, tonery itp.), niezależnie od wartości jednorazowego zamówienia, nie wymagają składania do DZP wniosku o </w:t>
      </w:r>
      <w:r w:rsidR="00650C2F">
        <w:t>wszczęcie</w:t>
      </w:r>
      <w:r>
        <w:t xml:space="preserve"> postępowania, jeżeli zakupy dokonywane  są  u  wyłonionych  wykonawców  i obejmują wyłącznie  zakres wynikający z umowy, natomiast w takich przypadkach na fakturze bądź rachunku należy przywołać numer postępowania ogłaszany każdorazowo przez DZP w Komunikatach na stronie internetowej po zakończeniu</w:t>
      </w:r>
      <w:r>
        <w:rPr>
          <w:spacing w:val="2"/>
        </w:rPr>
        <w:t xml:space="preserve"> </w:t>
      </w:r>
      <w:r>
        <w:t>postępowania.</w:t>
      </w:r>
    </w:p>
    <w:p w14:paraId="5B77FB07" w14:textId="77777777" w:rsidR="005301F1" w:rsidRDefault="004C124C">
      <w:pPr>
        <w:pStyle w:val="Akapitzlist"/>
        <w:numPr>
          <w:ilvl w:val="0"/>
          <w:numId w:val="3"/>
        </w:numPr>
        <w:tabs>
          <w:tab w:val="left" w:pos="479"/>
        </w:tabs>
        <w:spacing w:line="244" w:lineRule="exact"/>
        <w:ind w:hanging="361"/>
        <w:rPr>
          <w:sz w:val="24"/>
        </w:rPr>
      </w:pPr>
      <w:r>
        <w:rPr>
          <w:sz w:val="24"/>
        </w:rPr>
        <w:t>Przed</w:t>
      </w:r>
      <w:r>
        <w:rPr>
          <w:spacing w:val="39"/>
          <w:sz w:val="24"/>
        </w:rPr>
        <w:t xml:space="preserve"> </w:t>
      </w:r>
      <w:r>
        <w:rPr>
          <w:sz w:val="24"/>
        </w:rPr>
        <w:t>złożeniem</w:t>
      </w:r>
      <w:r>
        <w:rPr>
          <w:spacing w:val="38"/>
          <w:sz w:val="24"/>
        </w:rPr>
        <w:t xml:space="preserve"> </w:t>
      </w:r>
      <w:r>
        <w:rPr>
          <w:sz w:val="24"/>
        </w:rPr>
        <w:t>wniosku</w:t>
      </w:r>
      <w:r>
        <w:rPr>
          <w:spacing w:val="36"/>
          <w:sz w:val="24"/>
        </w:rPr>
        <w:t xml:space="preserve"> </w:t>
      </w:r>
      <w:r>
        <w:rPr>
          <w:sz w:val="24"/>
        </w:rPr>
        <w:t>właściwy</w:t>
      </w:r>
      <w:r>
        <w:rPr>
          <w:spacing w:val="39"/>
          <w:sz w:val="24"/>
        </w:rPr>
        <w:t xml:space="preserve"> </w:t>
      </w:r>
      <w:r>
        <w:rPr>
          <w:sz w:val="24"/>
        </w:rPr>
        <w:t>tryb</w:t>
      </w:r>
      <w:r>
        <w:rPr>
          <w:spacing w:val="39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35"/>
          <w:sz w:val="24"/>
        </w:rPr>
        <w:t xml:space="preserve"> </w:t>
      </w:r>
      <w:r>
        <w:rPr>
          <w:sz w:val="24"/>
        </w:rPr>
        <w:t>dla</w:t>
      </w:r>
      <w:r>
        <w:rPr>
          <w:spacing w:val="38"/>
          <w:sz w:val="24"/>
        </w:rPr>
        <w:t xml:space="preserve"> </w:t>
      </w:r>
      <w:r>
        <w:rPr>
          <w:sz w:val="24"/>
        </w:rPr>
        <w:t>danego</w:t>
      </w:r>
      <w:r>
        <w:rPr>
          <w:spacing w:val="38"/>
          <w:sz w:val="24"/>
        </w:rPr>
        <w:t xml:space="preserve"> </w:t>
      </w:r>
      <w:r>
        <w:rPr>
          <w:sz w:val="24"/>
        </w:rPr>
        <w:t>zamówienia</w:t>
      </w:r>
      <w:r>
        <w:rPr>
          <w:spacing w:val="38"/>
          <w:sz w:val="24"/>
        </w:rPr>
        <w:t xml:space="preserve"> </w:t>
      </w:r>
      <w:r>
        <w:rPr>
          <w:sz w:val="24"/>
        </w:rPr>
        <w:t>można</w:t>
      </w:r>
    </w:p>
    <w:p w14:paraId="24E6347B" w14:textId="77777777" w:rsidR="005301F1" w:rsidRDefault="004C124C">
      <w:pPr>
        <w:pStyle w:val="Tekstpodstawowy"/>
        <w:spacing w:before="43" w:line="276" w:lineRule="auto"/>
        <w:ind w:right="239"/>
      </w:pPr>
      <w:r>
        <w:t xml:space="preserve">sprawdzić w  harmonogramie  zamówień  do-  i  powyżej  </w:t>
      </w:r>
      <w:r w:rsidR="00A10D41">
        <w:t>130 000 zł</w:t>
      </w:r>
      <w:r>
        <w:t xml:space="preserve">  umieszczonym na stronie </w:t>
      </w:r>
      <w:hyperlink r:id="rId9" w:history="1">
        <w:r w:rsidR="00347F79" w:rsidRPr="00243D96">
          <w:rPr>
            <w:rStyle w:val="Hipercze"/>
          </w:rPr>
          <w:t>http://www.pan.olsztyn.pl/bip/  .</w:t>
        </w:r>
      </w:hyperlink>
    </w:p>
    <w:p w14:paraId="2E780C9B" w14:textId="77777777" w:rsidR="005301F1" w:rsidRDefault="004C124C">
      <w:pPr>
        <w:pStyle w:val="Nagwek2"/>
        <w:spacing w:before="198"/>
        <w:ind w:left="149" w:right="142"/>
        <w:jc w:val="center"/>
      </w:pPr>
      <w:r>
        <w:t>§2</w:t>
      </w:r>
    </w:p>
    <w:p w14:paraId="4E885972" w14:textId="77777777" w:rsidR="005301F1" w:rsidRDefault="005301F1">
      <w:pPr>
        <w:pStyle w:val="Tekstpodstawowy"/>
        <w:spacing w:before="10"/>
        <w:ind w:left="0"/>
        <w:rPr>
          <w:b/>
          <w:sz w:val="19"/>
        </w:rPr>
      </w:pPr>
    </w:p>
    <w:p w14:paraId="5FDC3AA9" w14:textId="77777777" w:rsidR="005301F1" w:rsidRDefault="004C124C">
      <w:pPr>
        <w:spacing w:line="276" w:lineRule="auto"/>
        <w:ind w:left="276" w:right="319"/>
        <w:jc w:val="center"/>
        <w:rPr>
          <w:b/>
          <w:sz w:val="24"/>
        </w:rPr>
      </w:pPr>
      <w:r>
        <w:rPr>
          <w:b/>
          <w:sz w:val="24"/>
        </w:rPr>
        <w:t>Procedura postępowania w związku z wydatkami finansowanymi/współfinansowanymi ze źródeł zewnętrznych</w:t>
      </w:r>
    </w:p>
    <w:p w14:paraId="1EC353D7" w14:textId="77777777" w:rsidR="005301F1" w:rsidRDefault="004C124C">
      <w:pPr>
        <w:pStyle w:val="Akapitzlist"/>
        <w:numPr>
          <w:ilvl w:val="0"/>
          <w:numId w:val="2"/>
        </w:numPr>
        <w:tabs>
          <w:tab w:val="left" w:pos="839"/>
        </w:tabs>
        <w:spacing w:before="200" w:line="276" w:lineRule="auto"/>
        <w:ind w:right="106"/>
        <w:jc w:val="both"/>
        <w:rPr>
          <w:sz w:val="24"/>
        </w:rPr>
      </w:pPr>
      <w:r>
        <w:rPr>
          <w:sz w:val="24"/>
        </w:rPr>
        <w:t xml:space="preserve">Wszelkie wydatki z projektów finansowanych i/lub współfinansowanych ze źródeł zewnętrznych, na przykład Unii Europejskiej (może dotyczyć to grantów wewnętrznych), są traktowane odrębnie i jeżeli w okresie ich trwania, wartość zamówienia danego rodzaju nie przekracza wyrażonej w złotych równowartości kwoty </w:t>
      </w:r>
      <w:r w:rsidR="00A10D41">
        <w:rPr>
          <w:sz w:val="24"/>
        </w:rPr>
        <w:t>130000 zł</w:t>
      </w:r>
      <w:r>
        <w:rPr>
          <w:sz w:val="24"/>
        </w:rPr>
        <w:t xml:space="preserve"> netto (zagregowanych w skali całego Instytutu), to przepisów ustawy PZP nie stosuje się, natomiast obowiązują Wytyczne przewidziane dla danego programu przy wydatkowaniu</w:t>
      </w:r>
      <w:r>
        <w:rPr>
          <w:spacing w:val="-1"/>
          <w:sz w:val="24"/>
        </w:rPr>
        <w:t xml:space="preserve"> </w:t>
      </w:r>
      <w:r>
        <w:rPr>
          <w:sz w:val="24"/>
        </w:rPr>
        <w:t>środków.</w:t>
      </w:r>
    </w:p>
    <w:p w14:paraId="46742EE7" w14:textId="77777777" w:rsidR="005301F1" w:rsidRDefault="005301F1">
      <w:pPr>
        <w:spacing w:line="276" w:lineRule="auto"/>
        <w:jc w:val="both"/>
        <w:rPr>
          <w:sz w:val="24"/>
        </w:rPr>
        <w:sectPr w:rsidR="005301F1">
          <w:pgSz w:w="11900" w:h="16840"/>
          <w:pgMar w:top="1380" w:right="1300" w:bottom="1200" w:left="1300" w:header="0" w:footer="1004" w:gutter="0"/>
          <w:cols w:space="708"/>
        </w:sectPr>
      </w:pPr>
    </w:p>
    <w:p w14:paraId="72383EEA" w14:textId="0FA17EE7" w:rsidR="005301F1" w:rsidRDefault="004C124C">
      <w:pPr>
        <w:pStyle w:val="Akapitzlist"/>
        <w:numPr>
          <w:ilvl w:val="0"/>
          <w:numId w:val="2"/>
        </w:numPr>
        <w:tabs>
          <w:tab w:val="left" w:pos="839"/>
        </w:tabs>
        <w:spacing w:before="38" w:line="276" w:lineRule="auto"/>
        <w:ind w:right="107"/>
        <w:jc w:val="both"/>
        <w:rPr>
          <w:sz w:val="24"/>
        </w:rPr>
      </w:pPr>
      <w:r>
        <w:rPr>
          <w:sz w:val="24"/>
        </w:rPr>
        <w:lastRenderedPageBreak/>
        <w:t xml:space="preserve">Za prowadzenie postępowań poniżej </w:t>
      </w:r>
      <w:r w:rsidR="00A10D41">
        <w:rPr>
          <w:sz w:val="24"/>
        </w:rPr>
        <w:t>130000 zł</w:t>
      </w:r>
      <w:r>
        <w:rPr>
          <w:sz w:val="24"/>
        </w:rPr>
        <w:t>.</w:t>
      </w:r>
      <w:r w:rsidR="00A10D41">
        <w:rPr>
          <w:sz w:val="24"/>
        </w:rPr>
        <w:t xml:space="preserve"> netto</w:t>
      </w:r>
      <w:r>
        <w:rPr>
          <w:sz w:val="24"/>
        </w:rPr>
        <w:t>, odpowiadają osoby zatrudnione</w:t>
      </w:r>
      <w:r w:rsidR="00650C2F">
        <w:rPr>
          <w:sz w:val="24"/>
        </w:rPr>
        <w:t xml:space="preserve"> </w:t>
      </w:r>
      <w:r>
        <w:rPr>
          <w:sz w:val="24"/>
        </w:rPr>
        <w:t>w powyższych projektach. Postępowania te muszą być prowadzone zgodnie z umową o dofinansowanie oraz procedurami i wytycznymi dla danego programu. Kierownicy i/lub koordynatorzy projektów niezwłocznie po podpisaniu umów i/lub otrzymaniu środków finansowych na ich realizację, zobowiązani są do przedłożenia w DZP harmonogramu (kosztorysu) rzeczowo-finansowego, celem uzgodnienia stosownych procedur i terminów udzielania</w:t>
      </w:r>
      <w:r>
        <w:rPr>
          <w:spacing w:val="-2"/>
          <w:sz w:val="24"/>
        </w:rPr>
        <w:t xml:space="preserve"> </w:t>
      </w:r>
      <w:r>
        <w:rPr>
          <w:sz w:val="24"/>
        </w:rPr>
        <w:t>zamówień.</w:t>
      </w:r>
    </w:p>
    <w:p w14:paraId="10736D3C" w14:textId="77777777" w:rsidR="005301F1" w:rsidRDefault="004C124C">
      <w:pPr>
        <w:pStyle w:val="Akapitzlist"/>
        <w:numPr>
          <w:ilvl w:val="0"/>
          <w:numId w:val="2"/>
        </w:numPr>
        <w:tabs>
          <w:tab w:val="left" w:pos="839"/>
        </w:tabs>
        <w:spacing w:before="198" w:line="276" w:lineRule="auto"/>
        <w:ind w:right="110"/>
        <w:jc w:val="both"/>
        <w:rPr>
          <w:sz w:val="24"/>
        </w:rPr>
      </w:pPr>
      <w:r>
        <w:rPr>
          <w:sz w:val="24"/>
        </w:rPr>
        <w:t>DZP zapewnia obsługę formalno-prawną postępowań o udzielenie zamówienia publicznego w przypadku, gdy kwota zakupu przekracza próg stosowania ustawy PZP (łącznie przez cały okres trwania</w:t>
      </w:r>
      <w:r>
        <w:rPr>
          <w:spacing w:val="-5"/>
          <w:sz w:val="24"/>
        </w:rPr>
        <w:t xml:space="preserve"> </w:t>
      </w:r>
      <w:r>
        <w:rPr>
          <w:sz w:val="24"/>
        </w:rPr>
        <w:t>projektu).</w:t>
      </w:r>
    </w:p>
    <w:p w14:paraId="44F1B04C" w14:textId="17D3A0CD" w:rsidR="005301F1" w:rsidRDefault="005301F1">
      <w:pPr>
        <w:pStyle w:val="Tekstpodstawowy"/>
        <w:spacing w:before="43" w:line="276" w:lineRule="auto"/>
        <w:ind w:left="403" w:right="108"/>
        <w:jc w:val="both"/>
      </w:pPr>
    </w:p>
    <w:sectPr w:rsidR="005301F1">
      <w:pgSz w:w="11900" w:h="16840"/>
      <w:pgMar w:top="1380" w:right="1300" w:bottom="1200" w:left="1300" w:header="0" w:footer="10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59284" w14:textId="77777777" w:rsidR="0003389B" w:rsidRDefault="0003389B">
      <w:r>
        <w:separator/>
      </w:r>
    </w:p>
  </w:endnote>
  <w:endnote w:type="continuationSeparator" w:id="0">
    <w:p w14:paraId="7E2A69DD" w14:textId="77777777" w:rsidR="0003389B" w:rsidRDefault="00033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804B8" w14:textId="218024C4" w:rsidR="005301F1" w:rsidRDefault="00A93C58">
    <w:pPr>
      <w:pStyle w:val="Tekstpodstawowy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4E17E7C" wp14:editId="1552B897">
              <wp:simplePos x="0" y="0"/>
              <wp:positionH relativeFrom="page">
                <wp:posOffset>6553200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3C85AF" w14:textId="77777777" w:rsidR="005301F1" w:rsidRDefault="004C124C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E17E7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" filled="f" stroked="f">
              <v:textbox inset="0,0,0,0">
                <w:txbxContent>
                  <w:p w14:paraId="683C85AF" w14:textId="77777777" w:rsidR="005301F1" w:rsidRDefault="004C124C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F2259" w14:textId="77777777" w:rsidR="0003389B" w:rsidRDefault="0003389B">
      <w:r>
        <w:separator/>
      </w:r>
    </w:p>
  </w:footnote>
  <w:footnote w:type="continuationSeparator" w:id="0">
    <w:p w14:paraId="5B1C0912" w14:textId="77777777" w:rsidR="0003389B" w:rsidRDefault="00033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5FC4"/>
    <w:multiLevelType w:val="hybridMultilevel"/>
    <w:tmpl w:val="64E88F8E"/>
    <w:lvl w:ilvl="0" w:tplc="D5AE075E">
      <w:start w:val="1"/>
      <w:numFmt w:val="decimal"/>
      <w:lvlText w:val="%1."/>
      <w:lvlJc w:val="left"/>
      <w:pPr>
        <w:ind w:left="478" w:hanging="360"/>
        <w:jc w:val="left"/>
      </w:pPr>
      <w:rPr>
        <w:rFonts w:ascii="Calibri" w:eastAsia="Calibri" w:hAnsi="Calibri" w:cs="Calibri" w:hint="default"/>
        <w:spacing w:val="-2"/>
        <w:w w:val="99"/>
        <w:sz w:val="24"/>
        <w:szCs w:val="24"/>
      </w:rPr>
    </w:lvl>
    <w:lvl w:ilvl="1" w:tplc="16C617EE">
      <w:start w:val="1"/>
      <w:numFmt w:val="decimal"/>
      <w:lvlText w:val="%2"/>
      <w:lvlJc w:val="left"/>
      <w:pPr>
        <w:ind w:left="691" w:hanging="214"/>
        <w:jc w:val="left"/>
      </w:pPr>
      <w:rPr>
        <w:rFonts w:ascii="Calibri" w:eastAsia="Calibri" w:hAnsi="Calibri" w:cs="Calibri" w:hint="default"/>
        <w:b/>
        <w:bCs/>
        <w:w w:val="99"/>
        <w:sz w:val="24"/>
        <w:szCs w:val="24"/>
      </w:rPr>
    </w:lvl>
    <w:lvl w:ilvl="2" w:tplc="519C6350">
      <w:numFmt w:val="bullet"/>
      <w:lvlText w:val="•"/>
      <w:lvlJc w:val="left"/>
      <w:pPr>
        <w:ind w:left="700" w:hanging="214"/>
      </w:pPr>
      <w:rPr>
        <w:rFonts w:hint="default"/>
      </w:rPr>
    </w:lvl>
    <w:lvl w:ilvl="3" w:tplc="4D0E9560">
      <w:numFmt w:val="bullet"/>
      <w:lvlText w:val="•"/>
      <w:lvlJc w:val="left"/>
      <w:pPr>
        <w:ind w:left="1775" w:hanging="214"/>
      </w:pPr>
      <w:rPr>
        <w:rFonts w:hint="default"/>
      </w:rPr>
    </w:lvl>
    <w:lvl w:ilvl="4" w:tplc="0CEE8C30">
      <w:numFmt w:val="bullet"/>
      <w:lvlText w:val="•"/>
      <w:lvlJc w:val="left"/>
      <w:pPr>
        <w:ind w:left="2850" w:hanging="214"/>
      </w:pPr>
      <w:rPr>
        <w:rFonts w:hint="default"/>
      </w:rPr>
    </w:lvl>
    <w:lvl w:ilvl="5" w:tplc="B306A0C2">
      <w:numFmt w:val="bullet"/>
      <w:lvlText w:val="•"/>
      <w:lvlJc w:val="left"/>
      <w:pPr>
        <w:ind w:left="3925" w:hanging="214"/>
      </w:pPr>
      <w:rPr>
        <w:rFonts w:hint="default"/>
      </w:rPr>
    </w:lvl>
    <w:lvl w:ilvl="6" w:tplc="A8C8B02C">
      <w:numFmt w:val="bullet"/>
      <w:lvlText w:val="•"/>
      <w:lvlJc w:val="left"/>
      <w:pPr>
        <w:ind w:left="5000" w:hanging="214"/>
      </w:pPr>
      <w:rPr>
        <w:rFonts w:hint="default"/>
      </w:rPr>
    </w:lvl>
    <w:lvl w:ilvl="7" w:tplc="29A4F1CE">
      <w:numFmt w:val="bullet"/>
      <w:lvlText w:val="•"/>
      <w:lvlJc w:val="left"/>
      <w:pPr>
        <w:ind w:left="6075" w:hanging="214"/>
      </w:pPr>
      <w:rPr>
        <w:rFonts w:hint="default"/>
      </w:rPr>
    </w:lvl>
    <w:lvl w:ilvl="8" w:tplc="2DF6AC9C">
      <w:numFmt w:val="bullet"/>
      <w:lvlText w:val="•"/>
      <w:lvlJc w:val="left"/>
      <w:pPr>
        <w:ind w:left="7150" w:hanging="214"/>
      </w:pPr>
      <w:rPr>
        <w:rFonts w:hint="default"/>
      </w:rPr>
    </w:lvl>
  </w:abstractNum>
  <w:abstractNum w:abstractNumId="1" w15:restartNumberingAfterBreak="0">
    <w:nsid w:val="64A7148F"/>
    <w:multiLevelType w:val="hybridMultilevel"/>
    <w:tmpl w:val="ADFAD6E2"/>
    <w:lvl w:ilvl="0" w:tplc="2C1455EE">
      <w:start w:val="1"/>
      <w:numFmt w:val="decimal"/>
      <w:lvlText w:val="%1."/>
      <w:lvlJc w:val="left"/>
      <w:pPr>
        <w:ind w:left="404" w:hanging="286"/>
        <w:jc w:val="left"/>
      </w:pPr>
      <w:rPr>
        <w:rFonts w:ascii="Calibri" w:eastAsia="Calibri" w:hAnsi="Calibri" w:cs="Calibri" w:hint="default"/>
        <w:spacing w:val="-2"/>
        <w:w w:val="99"/>
        <w:sz w:val="24"/>
        <w:szCs w:val="24"/>
      </w:rPr>
    </w:lvl>
    <w:lvl w:ilvl="1" w:tplc="E35A8570">
      <w:numFmt w:val="bullet"/>
      <w:lvlText w:val="•"/>
      <w:lvlJc w:val="left"/>
      <w:pPr>
        <w:ind w:left="1290" w:hanging="286"/>
      </w:pPr>
      <w:rPr>
        <w:rFonts w:hint="default"/>
      </w:rPr>
    </w:lvl>
    <w:lvl w:ilvl="2" w:tplc="AF6A0E56">
      <w:numFmt w:val="bullet"/>
      <w:lvlText w:val="•"/>
      <w:lvlJc w:val="left"/>
      <w:pPr>
        <w:ind w:left="2180" w:hanging="286"/>
      </w:pPr>
      <w:rPr>
        <w:rFonts w:hint="default"/>
      </w:rPr>
    </w:lvl>
    <w:lvl w:ilvl="3" w:tplc="5292444C">
      <w:numFmt w:val="bullet"/>
      <w:lvlText w:val="•"/>
      <w:lvlJc w:val="left"/>
      <w:pPr>
        <w:ind w:left="3070" w:hanging="286"/>
      </w:pPr>
      <w:rPr>
        <w:rFonts w:hint="default"/>
      </w:rPr>
    </w:lvl>
    <w:lvl w:ilvl="4" w:tplc="90663AF2">
      <w:numFmt w:val="bullet"/>
      <w:lvlText w:val="•"/>
      <w:lvlJc w:val="left"/>
      <w:pPr>
        <w:ind w:left="3960" w:hanging="286"/>
      </w:pPr>
      <w:rPr>
        <w:rFonts w:hint="default"/>
      </w:rPr>
    </w:lvl>
    <w:lvl w:ilvl="5" w:tplc="CC9CFDBE">
      <w:numFmt w:val="bullet"/>
      <w:lvlText w:val="•"/>
      <w:lvlJc w:val="left"/>
      <w:pPr>
        <w:ind w:left="4850" w:hanging="286"/>
      </w:pPr>
      <w:rPr>
        <w:rFonts w:hint="default"/>
      </w:rPr>
    </w:lvl>
    <w:lvl w:ilvl="6" w:tplc="29A88680">
      <w:numFmt w:val="bullet"/>
      <w:lvlText w:val="•"/>
      <w:lvlJc w:val="left"/>
      <w:pPr>
        <w:ind w:left="5740" w:hanging="286"/>
      </w:pPr>
      <w:rPr>
        <w:rFonts w:hint="default"/>
      </w:rPr>
    </w:lvl>
    <w:lvl w:ilvl="7" w:tplc="421EE2A6">
      <w:numFmt w:val="bullet"/>
      <w:lvlText w:val="•"/>
      <w:lvlJc w:val="left"/>
      <w:pPr>
        <w:ind w:left="6630" w:hanging="286"/>
      </w:pPr>
      <w:rPr>
        <w:rFonts w:hint="default"/>
      </w:rPr>
    </w:lvl>
    <w:lvl w:ilvl="8" w:tplc="95DA642A">
      <w:numFmt w:val="bullet"/>
      <w:lvlText w:val="•"/>
      <w:lvlJc w:val="left"/>
      <w:pPr>
        <w:ind w:left="7520" w:hanging="286"/>
      </w:pPr>
      <w:rPr>
        <w:rFonts w:hint="default"/>
      </w:rPr>
    </w:lvl>
  </w:abstractNum>
  <w:abstractNum w:abstractNumId="2" w15:restartNumberingAfterBreak="0">
    <w:nsid w:val="7D6262C1"/>
    <w:multiLevelType w:val="hybridMultilevel"/>
    <w:tmpl w:val="931C41EA"/>
    <w:lvl w:ilvl="0" w:tplc="09E27692">
      <w:start w:val="1"/>
      <w:numFmt w:val="decimal"/>
      <w:lvlText w:val="%1."/>
      <w:lvlJc w:val="left"/>
      <w:pPr>
        <w:ind w:left="838" w:hanging="360"/>
        <w:jc w:val="left"/>
      </w:pPr>
      <w:rPr>
        <w:rFonts w:ascii="Calibri" w:eastAsia="Calibri" w:hAnsi="Calibri" w:cs="Calibri" w:hint="default"/>
        <w:spacing w:val="-2"/>
        <w:w w:val="99"/>
        <w:sz w:val="24"/>
        <w:szCs w:val="24"/>
      </w:rPr>
    </w:lvl>
    <w:lvl w:ilvl="1" w:tplc="2FD0B9D2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5CC68750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8D904C9A"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2D1615D4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DAB884C8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64DCBCBE"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5300B7A4"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84683288">
      <w:numFmt w:val="bullet"/>
      <w:lvlText w:val="•"/>
      <w:lvlJc w:val="left"/>
      <w:pPr>
        <w:ind w:left="7608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1F1"/>
    <w:rsid w:val="0003389B"/>
    <w:rsid w:val="00137403"/>
    <w:rsid w:val="00347F79"/>
    <w:rsid w:val="003B4FFA"/>
    <w:rsid w:val="003B625A"/>
    <w:rsid w:val="004C124C"/>
    <w:rsid w:val="005301F1"/>
    <w:rsid w:val="00650C2F"/>
    <w:rsid w:val="00937E9F"/>
    <w:rsid w:val="00A10D41"/>
    <w:rsid w:val="00A93C58"/>
    <w:rsid w:val="00CF46AD"/>
    <w:rsid w:val="00DC1144"/>
    <w:rsid w:val="00F635D8"/>
    <w:rsid w:val="00FE0E25"/>
    <w:rsid w:val="00FF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3DCE69"/>
  <w15:docId w15:val="{116AFC16-29B1-43BC-BE04-D3FA108FD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9"/>
    <w:qFormat/>
    <w:pPr>
      <w:spacing w:before="18"/>
      <w:ind w:left="153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478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78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478" w:hanging="360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347F7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7F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an.olsztyn.pl/bi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an.olsztyn.pl/bip/%20%20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zał_nr_41_Procedury_ponizej_30_tys_Euro</vt:lpstr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zał_nr_41_Procedury_ponizej_30_tys_Euro</dc:title>
  <dc:creator>()</dc:creator>
  <cp:keywords>()</cp:keywords>
  <cp:lastModifiedBy>Krzysztof Wilczek</cp:lastModifiedBy>
  <cp:revision>2</cp:revision>
  <dcterms:created xsi:type="dcterms:W3CDTF">2022-03-11T09:24:00Z</dcterms:created>
  <dcterms:modified xsi:type="dcterms:W3CDTF">2022-03-11T09:24:00Z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2014-05-07T00:00:00Z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2020-12-21T00:00:00Z</vt:filetime>
  </property>
</Properties>
</file>